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Registro degli strumenti di intelligenza artificiale</w:t>
      </w:r>
    </w:p>
    <w:p>
      <w:r>
        <w:rPr>
          <w:b w:val="0"/>
        </w:rPr>
        <w:t>Una scheda per strumento, oppure un foglio di calcolo con una riga per strumento.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Voce</w:t>
            </w:r>
          </w:p>
        </w:tc>
        <w:tc>
          <w:tcPr>
            <w:tcW w:type="dxa" w:w="4873"/>
          </w:tcPr>
          <w:p>
            <w:r>
              <w:rPr>
                <w:b/>
              </w:rPr>
              <w:t>Esempio compilato</w:t>
            </w:r>
          </w:p>
        </w:tc>
      </w:tr>
      <w:tr>
        <w:tc>
          <w:tcPr>
            <w:tcW w:type="dxa" w:w="4873"/>
          </w:tcPr>
          <w:p>
            <w:r>
              <w:t>Strumento</w:t>
            </w:r>
          </w:p>
        </w:tc>
        <w:tc>
          <w:tcPr>
            <w:tcW w:type="dxa" w:w="4873"/>
          </w:tcPr>
          <w:p>
            <w:r>
              <w:t>Piattaforma di esercitazione adattiva, piano scuola</w:t>
            </w:r>
          </w:p>
        </w:tc>
      </w:tr>
      <w:tr>
        <w:tc>
          <w:tcPr>
            <w:tcW w:type="dxa" w:w="4873"/>
          </w:tcPr>
          <w:p>
            <w:r>
              <w:t>Fornitore</w:t>
            </w:r>
          </w:p>
        </w:tc>
        <w:tc>
          <w:tcPr>
            <w:tcW w:type="dxa" w:w="4873"/>
          </w:tcPr>
          <w:p>
            <w:r>
              <w:t>[ragione sociale e sede]</w:t>
            </w:r>
          </w:p>
        </w:tc>
      </w:tr>
      <w:tr>
        <w:tc>
          <w:tcPr>
            <w:tcW w:type="dxa" w:w="4873"/>
          </w:tcPr>
          <w:p>
            <w:r>
              <w:t>Finalità</w:t>
            </w:r>
          </w:p>
        </w:tc>
        <w:tc>
          <w:tcPr>
            <w:tcW w:type="dxa" w:w="4873"/>
          </w:tcPr>
          <w:p>
            <w:r>
              <w:t>Esercizi personalizzati di matematica, classi terze della secondaria di primo grado</w:t>
            </w:r>
          </w:p>
        </w:tc>
      </w:tr>
      <w:tr>
        <w:tc>
          <w:tcPr>
            <w:tcW w:type="dxa" w:w="4873"/>
          </w:tcPr>
          <w:p>
            <w:r>
              <w:t>Utenti</w:t>
            </w:r>
          </w:p>
        </w:tc>
        <w:tc>
          <w:tcPr>
            <w:tcW w:type="dxa" w:w="4873"/>
          </w:tcPr>
          <w:p>
            <w:r>
              <w:t>Docenti di matematica; studenti delle classi 3A, 3B, 3C</w:t>
            </w:r>
          </w:p>
        </w:tc>
      </w:tr>
      <w:tr>
        <w:tc>
          <w:tcPr>
            <w:tcW w:type="dxa" w:w="4873"/>
          </w:tcPr>
          <w:p>
            <w:r>
              <w:t>Dati trattati</w:t>
            </w:r>
          </w:p>
        </w:tc>
        <w:tc>
          <w:tcPr>
            <w:tcW w:type="dxa" w:w="4873"/>
          </w:tcPr>
          <w:p>
            <w:r>
              <w:t>Nome utente, classe, risposte agli esercizi, punteggi</w:t>
            </w:r>
          </w:p>
        </w:tc>
      </w:tr>
      <w:tr>
        <w:tc>
          <w:tcPr>
            <w:tcW w:type="dxa" w:w="4873"/>
          </w:tcPr>
          <w:p>
            <w:r>
              <w:t>Livello di rischio</w:t>
            </w:r>
          </w:p>
        </w:tc>
        <w:tc>
          <w:tcPr>
            <w:tcW w:type="dxa" w:w="4873"/>
          </w:tcPr>
          <w:p>
            <w:r>
              <w:t>Alto rischio: Allegato III, punto 3, lett. b), valuta e orienta l’apprendimento</w:t>
            </w:r>
          </w:p>
        </w:tc>
      </w:tr>
      <w:tr>
        <w:tc>
          <w:tcPr>
            <w:tcW w:type="dxa" w:w="4873"/>
          </w:tcPr>
          <w:p>
            <w:r>
              <w:t>Base giuridica</w:t>
            </w:r>
          </w:p>
        </w:tc>
        <w:tc>
          <w:tcPr>
            <w:tcW w:type="dxa" w:w="4873"/>
          </w:tcPr>
          <w:p>
            <w:r>
              <w:t>Compito di interesse pubblico; consenso dei genitori per gli studenti sotto i 14 anni (L. 132/2025)</w:t>
            </w:r>
          </w:p>
        </w:tc>
      </w:tr>
      <w:tr>
        <w:tc>
          <w:tcPr>
            <w:tcW w:type="dxa" w:w="4873"/>
          </w:tcPr>
          <w:p>
            <w:r>
              <w:t>Addestramento</w:t>
            </w:r>
          </w:p>
        </w:tc>
        <w:tc>
          <w:tcPr>
            <w:tcW w:type="dxa" w:w="4873"/>
          </w:tcPr>
          <w:p>
            <w:r>
              <w:t>Escluso per contratto</w:t>
            </w:r>
          </w:p>
        </w:tc>
      </w:tr>
      <w:tr>
        <w:tc>
          <w:tcPr>
            <w:tcW w:type="dxa" w:w="4873"/>
          </w:tcPr>
          <w:p>
            <w:r>
              <w:t>Accordo art. 28</w:t>
            </w:r>
          </w:p>
        </w:tc>
        <w:tc>
          <w:tcPr>
            <w:tcW w:type="dxa" w:w="4873"/>
          </w:tcPr>
          <w:p>
            <w:r>
              <w:t>Firmato il [data], allegato al contratto</w:t>
            </w:r>
          </w:p>
        </w:tc>
      </w:tr>
      <w:tr>
        <w:tc>
          <w:tcPr>
            <w:tcW w:type="dxa" w:w="4873"/>
          </w:tcPr>
          <w:p>
            <w:r>
              <w:t>Sorveglianza umana</w:t>
            </w:r>
          </w:p>
        </w:tc>
        <w:tc>
          <w:tcPr>
            <w:tcW w:type="dxa" w:w="4873"/>
          </w:tcPr>
          <w:p>
            <w:r>
              <w:t>Docente di classe: riesame dei percorsi assegnati ogni due settimane</w:t>
            </w:r>
          </w:p>
        </w:tc>
      </w:tr>
      <w:tr>
        <w:tc>
          <w:tcPr>
            <w:tcW w:type="dxa" w:w="4873"/>
          </w:tcPr>
          <w:p>
            <w:r>
              <w:t>Valutazioni d’impatto</w:t>
            </w:r>
          </w:p>
        </w:tc>
        <w:tc>
          <w:tcPr>
            <w:tcW w:type="dxa" w:w="4873"/>
          </w:tcPr>
          <w:p>
            <w:r>
              <w:t>Protezione dei dati: [data]; diritti fondamentali: entro il 2 dicembre 2027</w:t>
            </w:r>
          </w:p>
        </w:tc>
      </w:tr>
      <w:tr>
        <w:tc>
          <w:tcPr>
            <w:tcW w:type="dxa" w:w="4873"/>
          </w:tcPr>
          <w:p>
            <w:r>
              <w:t>Registrazione dell’uso</w:t>
            </w:r>
          </w:p>
        </w:tc>
        <w:tc>
          <w:tcPr>
            <w:tcW w:type="dxa" w:w="4873"/>
          </w:tcPr>
          <w:p>
            <w:r>
              <w:t>Banca dati europea: entro il 2 dicembre 2027</w:t>
            </w:r>
          </w:p>
        </w:tc>
      </w:tr>
      <w:tr>
        <w:tc>
          <w:tcPr>
            <w:tcW w:type="dxa" w:w="4873"/>
          </w:tcPr>
          <w:p>
            <w:r>
              <w:t>Referente e date</w:t>
            </w:r>
          </w:p>
        </w:tc>
        <w:tc>
          <w:tcPr>
            <w:tcW w:type="dxa" w:w="4873"/>
          </w:tcPr>
          <w:p>
            <w:r>
              <w:t>[nome]; adottato il [data]; riesame a giugno</w:t>
            </w:r>
          </w:p>
        </w:tc>
      </w:tr>
    </w:tbl>
    <w:p/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