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Il calendario dell’AI Act dopo l’Omnibus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Data</w:t>
            </w:r>
          </w:p>
        </w:tc>
        <w:tc>
          <w:tcPr>
            <w:tcW w:type="dxa" w:w="4873"/>
          </w:tcPr>
          <w:p>
            <w:r>
              <w:rPr>
                <w:b/>
              </w:rPr>
              <w:t>Che cosa si applica</w:t>
            </w:r>
          </w:p>
        </w:tc>
      </w:tr>
      <w:tr>
        <w:tc>
          <w:tcPr>
            <w:tcW w:type="dxa" w:w="4873"/>
          </w:tcPr>
          <w:p>
            <w:r>
              <w:t>1° agosto 2024</w:t>
            </w:r>
          </w:p>
        </w:tc>
        <w:tc>
          <w:tcPr>
            <w:tcW w:type="dxa" w:w="4873"/>
          </w:tcPr>
          <w:p>
            <w:r>
              <w:t>Entrata in vigore del Regolamento (UE) 2024/1689</w:t>
            </w:r>
          </w:p>
        </w:tc>
      </w:tr>
      <w:tr>
        <w:tc>
          <w:tcPr>
            <w:tcW w:type="dxa" w:w="4873"/>
          </w:tcPr>
          <w:p>
            <w:r>
              <w:t>2 febbraio 2025</w:t>
            </w:r>
          </w:p>
        </w:tc>
        <w:tc>
          <w:tcPr>
            <w:tcW w:type="dxa" w:w="4873"/>
          </w:tcPr>
          <w:p>
            <w:r>
              <w:t>Divieti dell’art. 5; obbligo di alfabetizzazione dell’art. 4</w:t>
            </w:r>
          </w:p>
        </w:tc>
      </w:tr>
      <w:tr>
        <w:tc>
          <w:tcPr>
            <w:tcW w:type="dxa" w:w="4873"/>
          </w:tcPr>
          <w:p>
            <w:r>
              <w:t>2 agosto 2025</w:t>
            </w:r>
          </w:p>
        </w:tc>
        <w:tc>
          <w:tcPr>
            <w:tcW w:type="dxa" w:w="4873"/>
          </w:tcPr>
          <w:p>
            <w:r>
              <w:t>Modelli per finalità generali; governance; sanzioni</w:t>
            </w:r>
          </w:p>
        </w:tc>
      </w:tr>
      <w:tr>
        <w:tc>
          <w:tcPr>
            <w:tcW w:type="dxa" w:w="4873"/>
          </w:tcPr>
          <w:p>
            <w:r>
              <w:t>27 luglio 2026</w:t>
            </w:r>
          </w:p>
        </w:tc>
        <w:tc>
          <w:tcPr>
            <w:tcW w:type="dxa" w:w="4873"/>
          </w:tcPr>
          <w:p>
            <w:r>
              <w:t>Entrata in vigore del Regolamento (UE) 2026/1744 (Omnibus): nuovo art. 4, nuovi divieti, rinvio dell’alto rischio</w:t>
            </w:r>
          </w:p>
        </w:tc>
      </w:tr>
      <w:tr>
        <w:tc>
          <w:tcPr>
            <w:tcW w:type="dxa" w:w="4873"/>
          </w:tcPr>
          <w:p>
            <w:r>
              <w:t>2 agosto 2026</w:t>
            </w:r>
          </w:p>
        </w:tc>
        <w:tc>
          <w:tcPr>
            <w:tcW w:type="dxa" w:w="4873"/>
          </w:tcPr>
          <w:p>
            <w:r>
              <w:t>Applicazione generale; obblighi di trasparenza dell’art. 50</w:t>
            </w:r>
          </w:p>
        </w:tc>
      </w:tr>
      <w:tr>
        <w:tc>
          <w:tcPr>
            <w:tcW w:type="dxa" w:w="4873"/>
          </w:tcPr>
          <w:p>
            <w:r>
              <w:t>2 dicembre 2026</w:t>
            </w:r>
          </w:p>
        </w:tc>
        <w:tc>
          <w:tcPr>
            <w:tcW w:type="dxa" w:w="4873"/>
          </w:tcPr>
          <w:p>
            <w:r>
              <w:t>Divieto dei sistemi che generano immagini intime non consensuali e materiale pedopornografico; termine per la marcatura dei contenuti generati</w:t>
            </w:r>
          </w:p>
        </w:tc>
      </w:tr>
      <w:tr>
        <w:tc>
          <w:tcPr>
            <w:tcW w:type="dxa" w:w="4873"/>
          </w:tcPr>
          <w:p>
            <w:r>
              <w:t>2 agosto 2027</w:t>
            </w:r>
          </w:p>
        </w:tc>
        <w:tc>
          <w:tcPr>
            <w:tcW w:type="dxa" w:w="4873"/>
          </w:tcPr>
          <w:p>
            <w:r>
              <w:t>Modelli per finalità generali immessi sul mercato prima del 2 agosto 2025</w:t>
            </w:r>
          </w:p>
        </w:tc>
      </w:tr>
      <w:tr>
        <w:tc>
          <w:tcPr>
            <w:tcW w:type="dxa" w:w="4873"/>
          </w:tcPr>
          <w:p>
            <w:r>
              <w:t>2 dicembre 2027</w:t>
            </w:r>
          </w:p>
        </w:tc>
        <w:tc>
          <w:tcPr>
            <w:tcW w:type="dxa" w:w="4873"/>
          </w:tcPr>
          <w:p>
            <w:r>
              <w:t>Obblighi per i sistemi ad alto rischio dell’Allegato III, compresa l’istruzione</w:t>
            </w:r>
          </w:p>
        </w:tc>
      </w:tr>
      <w:tr>
        <w:tc>
          <w:tcPr>
            <w:tcW w:type="dxa" w:w="4873"/>
          </w:tcPr>
          <w:p>
            <w:r>
              <w:t>2 agosto 2028</w:t>
            </w:r>
          </w:p>
        </w:tc>
        <w:tc>
          <w:tcPr>
            <w:tcW w:type="dxa" w:w="4873"/>
          </w:tcPr>
          <w:p>
            <w:r>
              <w:t>Obblighi per i sistemi ad alto rischio dell’Allegato I</w:t>
            </w:r>
          </w:p>
        </w:tc>
      </w:tr>
    </w:tbl>
    <w:p/>
    <w:p>
      <w:r>
        <w:rPr>
          <w:b w:val="0"/>
        </w:rPr>
        <w:t>In Italia: legge 23 settembre 2025, n. 132, in vigore dal 10 ottobre 2025; decreto legislativo 9 settembre 2026, n. 160, in vigore dal 30 settembre 2026.</w:t>
      </w:r>
    </w:p>
    <w:p>
      <w:r>
        <w:rPr>
          <w:i/>
          <w:sz w:val="17"/>
        </w:rPr>
        <w:t>Modello tratto da «L’intelligenza artificiale a scuola» di Alessandro Richard (collana Il mestiere). Da adattare all’istituto e far verificare al responsabile della protezione dei dati. www.alessandrorichard.it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